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669D509F" w14:textId="05BBE84D" w:rsidR="00567846" w:rsidRPr="00EB337A" w:rsidRDefault="00567846" w:rsidP="0056784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944AE2">
        <w:rPr>
          <w:rFonts w:cs="Arial"/>
          <w:b/>
          <w:noProof/>
          <w:sz w:val="24"/>
          <w:szCs w:val="24"/>
          <w:lang w:val="en-US"/>
        </w:rPr>
        <w:t>10</w:t>
      </w:r>
      <w:r w:rsidR="00EE0B54">
        <w:rPr>
          <w:rFonts w:cs="Arial"/>
          <w:b/>
          <w:noProof/>
          <w:sz w:val="24"/>
          <w:szCs w:val="24"/>
          <w:lang w:val="en-US"/>
        </w:rPr>
        <w:t>1-bis-</w:t>
      </w:r>
      <w:r w:rsidRPr="00EB337A">
        <w:rPr>
          <w:rFonts w:cs="Arial"/>
          <w:b/>
          <w:noProof/>
          <w:sz w:val="24"/>
          <w:szCs w:val="24"/>
          <w:lang w:val="en-US"/>
        </w:rPr>
        <w:t>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34187E" w:rsidRPr="0034187E">
        <w:rPr>
          <w:rFonts w:cs="Arial"/>
          <w:b/>
          <w:i/>
          <w:noProof/>
          <w:sz w:val="24"/>
          <w:szCs w:val="24"/>
          <w:lang w:val="en-US"/>
        </w:rPr>
        <w:t>R4-2200348</w:t>
      </w:r>
    </w:p>
    <w:p w14:paraId="3C2AE2C4" w14:textId="5C43C96D" w:rsidR="00567846" w:rsidRPr="000A1846" w:rsidRDefault="00567846" w:rsidP="00567846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</w:t>
      </w:r>
      <w:r w:rsidR="00EE0B54">
        <w:rPr>
          <w:rFonts w:cs="Arial"/>
          <w:b/>
          <w:noProof/>
          <w:sz w:val="24"/>
          <w:lang w:val="en-US"/>
        </w:rPr>
        <w:t>7</w:t>
      </w:r>
      <w:r w:rsidRPr="00AC44E4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2</w:t>
      </w:r>
      <w:r w:rsidR="00EE0B54">
        <w:rPr>
          <w:rFonts w:cs="Arial"/>
          <w:b/>
          <w:noProof/>
          <w:sz w:val="24"/>
          <w:lang w:val="en-US"/>
        </w:rPr>
        <w:t>5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EE0B54">
        <w:rPr>
          <w:rFonts w:cs="Arial"/>
          <w:b/>
          <w:noProof/>
          <w:sz w:val="24"/>
          <w:lang w:val="en-US"/>
        </w:rPr>
        <w:t>January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EE0B5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937F67" w:rsidRDefault="00DC6358" w:rsidP="00DC6358">
      <w:pPr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41E0ABDF" w14:textId="119D1B6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E0B54">
        <w:rPr>
          <w:sz w:val="24"/>
          <w:szCs w:val="24"/>
        </w:rPr>
        <w:t xml:space="preserve">UE spherical coverage </w:t>
      </w:r>
      <w:r w:rsidR="00B77D99">
        <w:rPr>
          <w:sz w:val="24"/>
          <w:szCs w:val="24"/>
        </w:rPr>
        <w:t>requirement</w:t>
      </w:r>
      <w:r w:rsidR="00D6262C">
        <w:rPr>
          <w:sz w:val="24"/>
          <w:szCs w:val="24"/>
        </w:rPr>
        <w:t xml:space="preserve"> for </w:t>
      </w:r>
      <w:r w:rsidR="005101F7">
        <w:rPr>
          <w:sz w:val="24"/>
          <w:szCs w:val="24"/>
        </w:rPr>
        <w:t xml:space="preserve">FR2 </w:t>
      </w:r>
      <w:r w:rsidR="00D6262C">
        <w:rPr>
          <w:sz w:val="24"/>
          <w:szCs w:val="24"/>
        </w:rPr>
        <w:t>HST</w:t>
      </w:r>
    </w:p>
    <w:p w14:paraId="632E5E14" w14:textId="53312F0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8D4C38">
        <w:rPr>
          <w:sz w:val="24"/>
          <w:szCs w:val="24"/>
        </w:rPr>
        <w:t>6.9.3.1.2</w:t>
      </w:r>
      <w:r w:rsidRPr="000B39AE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>[</w:t>
      </w:r>
      <w:r w:rsidR="00E02131" w:rsidRPr="00E02131">
        <w:rPr>
          <w:sz w:val="24"/>
          <w:szCs w:val="24"/>
        </w:rPr>
        <w:t>NR_HST_FR2-Core</w:t>
      </w:r>
      <w:r w:rsidRPr="0072093D">
        <w:rPr>
          <w:sz w:val="24"/>
          <w:szCs w:val="24"/>
        </w:rPr>
        <w:t>]</w:t>
      </w:r>
    </w:p>
    <w:p w14:paraId="04DC1DD4" w14:textId="5C8F43BC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567846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149104DE" w14:textId="20E64656" w:rsidR="00FE70CD" w:rsidRDefault="00D6262C" w:rsidP="0067040A">
      <w:r>
        <w:t xml:space="preserve">In this contribution, the </w:t>
      </w:r>
      <w:r w:rsidR="005101F7">
        <w:t xml:space="preserve">UE </w:t>
      </w:r>
      <w:r w:rsidR="00EE0B54">
        <w:t>spherical coverage</w:t>
      </w:r>
      <w:r>
        <w:t xml:space="preserve"> requirements for FR2 HST WI [1] is discussed.</w:t>
      </w:r>
    </w:p>
    <w:p w14:paraId="68301C53" w14:textId="1B40FD81" w:rsidR="002A2F73" w:rsidRPr="00DC6358" w:rsidRDefault="002A2F73" w:rsidP="002A2F73">
      <w:pPr>
        <w:pStyle w:val="Heading1"/>
      </w:pPr>
      <w:r>
        <w:t>Discussion</w:t>
      </w:r>
    </w:p>
    <w:p w14:paraId="6ACC7FDC" w14:textId="0FCE4368" w:rsidR="007A6B7B" w:rsidRDefault="007A6B7B" w:rsidP="007A6B7B">
      <w:pPr>
        <w:rPr>
          <w:rFonts w:eastAsia="DengXian"/>
        </w:rPr>
      </w:pPr>
      <w:r>
        <w:t>In RAN4#101-e meeting the way-forward [2] was agreed</w:t>
      </w:r>
      <w:r w:rsidR="004744A2">
        <w:t>; f</w:t>
      </w:r>
      <w:r>
        <w:t xml:space="preserve">or the UE spherical coverage requirement, </w:t>
      </w:r>
      <w:r w:rsidR="007C09BD">
        <w:rPr>
          <w:rFonts w:eastAsia="DengXian"/>
        </w:rPr>
        <w:t>t</w:t>
      </w:r>
      <w:r>
        <w:rPr>
          <w:rFonts w:eastAsia="DengXian"/>
        </w:rPr>
        <w:t>he following agreement is achieved in GTW (Thursday, 11th Nov):</w:t>
      </w:r>
    </w:p>
    <w:p w14:paraId="4251FB81" w14:textId="77777777" w:rsidR="007A6B7B" w:rsidRPr="00EF7AB8" w:rsidRDefault="007A6B7B" w:rsidP="007A6B7B">
      <w:pPr>
        <w:ind w:left="852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Agreement:</w:t>
      </w:r>
    </w:p>
    <w:p w14:paraId="5E2A62F2" w14:textId="77777777" w:rsidR="007A6B7B" w:rsidRPr="00EF7AB8" w:rsidRDefault="007A6B7B" w:rsidP="007A6B7B">
      <w:pPr>
        <w:pStyle w:val="ListParagraph"/>
        <w:numPr>
          <w:ilvl w:val="0"/>
          <w:numId w:val="24"/>
        </w:numPr>
        <w:spacing w:after="160" w:line="259" w:lineRule="auto"/>
        <w:ind w:left="157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 xml:space="preserve">Directions of antenna panels: </w:t>
      </w:r>
    </w:p>
    <w:p w14:paraId="1B22CB03" w14:textId="77777777" w:rsidR="007A6B7B" w:rsidRPr="00EF7AB8" w:rsidRDefault="007A6B7B" w:rsidP="007A6B7B">
      <w:pPr>
        <w:pStyle w:val="ListParagraph"/>
        <w:numPr>
          <w:ilvl w:val="1"/>
          <w:numId w:val="24"/>
        </w:numPr>
        <w:spacing w:after="160" w:line="259" w:lineRule="auto"/>
        <w:ind w:left="229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Boresight directions for forward and backward panels shall be declared by UE vendors.</w:t>
      </w:r>
    </w:p>
    <w:p w14:paraId="20D2F78D" w14:textId="77777777" w:rsidR="007A6B7B" w:rsidRPr="00EF7AB8" w:rsidRDefault="007A6B7B" w:rsidP="007A6B7B">
      <w:pPr>
        <w:pStyle w:val="ListParagraph"/>
        <w:numPr>
          <w:ilvl w:val="2"/>
          <w:numId w:val="24"/>
        </w:numPr>
        <w:spacing w:after="160" w:line="259" w:lineRule="auto"/>
        <w:ind w:left="301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FFS whether the limitation on boresight directions is needed</w:t>
      </w:r>
    </w:p>
    <w:p w14:paraId="586F9E4F" w14:textId="77777777" w:rsidR="007A6B7B" w:rsidRPr="00EF7AB8" w:rsidRDefault="007A6B7B" w:rsidP="007A6B7B">
      <w:pPr>
        <w:pStyle w:val="ListParagraph"/>
        <w:numPr>
          <w:ilvl w:val="0"/>
          <w:numId w:val="24"/>
        </w:numPr>
        <w:spacing w:after="160" w:line="259" w:lineRule="auto"/>
        <w:ind w:left="157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 xml:space="preserve">Coordination system to be used for requirement definition: </w:t>
      </w:r>
    </w:p>
    <w:p w14:paraId="4D191E7B" w14:textId="77777777" w:rsidR="007A6B7B" w:rsidRPr="00EF7AB8" w:rsidRDefault="007A6B7B" w:rsidP="007A6B7B">
      <w:pPr>
        <w:pStyle w:val="ListParagraph"/>
        <w:numPr>
          <w:ilvl w:val="1"/>
          <w:numId w:val="24"/>
        </w:numPr>
        <w:spacing w:after="160" w:line="259" w:lineRule="auto"/>
        <w:ind w:left="229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Option-1: absolute coordination system:</w:t>
      </w:r>
    </w:p>
    <w:p w14:paraId="57B33018" w14:textId="77777777" w:rsidR="007A6B7B" w:rsidRPr="00EF7AB8" w:rsidRDefault="007A6B7B" w:rsidP="007A6B7B">
      <w:pPr>
        <w:pStyle w:val="ListParagraph"/>
        <w:numPr>
          <w:ilvl w:val="1"/>
          <w:numId w:val="24"/>
        </w:numPr>
        <w:spacing w:after="160" w:line="259" w:lineRule="auto"/>
        <w:ind w:left="229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Option 2: relative coordination system (relative to the claimed boresight direction)</w:t>
      </w:r>
    </w:p>
    <w:p w14:paraId="1048F9A4" w14:textId="77777777" w:rsidR="007A6B7B" w:rsidRPr="00EF7AB8" w:rsidRDefault="007A6B7B" w:rsidP="007A6B7B">
      <w:pPr>
        <w:pStyle w:val="ListParagraph"/>
        <w:numPr>
          <w:ilvl w:val="0"/>
          <w:numId w:val="24"/>
        </w:numPr>
        <w:spacing w:after="160" w:line="259" w:lineRule="auto"/>
        <w:ind w:left="157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Spherical coverage x%-tile point</w:t>
      </w:r>
      <w:r w:rsidRPr="00EF7AB8">
        <w:rPr>
          <w:rFonts w:eastAsia="DengXian"/>
          <w:color w:val="FF0000"/>
          <w:highlight w:val="green"/>
        </w:rPr>
        <w:t xml:space="preserve"> </w:t>
      </w:r>
      <w:r w:rsidRPr="001650B2">
        <w:rPr>
          <w:rFonts w:eastAsia="DengXian"/>
          <w:highlight w:val="green"/>
        </w:rPr>
        <w:t>per panel</w:t>
      </w:r>
    </w:p>
    <w:p w14:paraId="5A9DB1CA" w14:textId="77777777" w:rsidR="007A6B7B" w:rsidRPr="00EF7AB8" w:rsidRDefault="007A6B7B" w:rsidP="007A6B7B">
      <w:pPr>
        <w:pStyle w:val="ListParagraph"/>
        <w:numPr>
          <w:ilvl w:val="1"/>
          <w:numId w:val="24"/>
        </w:numPr>
        <w:spacing w:after="160" w:line="259" w:lineRule="auto"/>
        <w:ind w:left="229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 xml:space="preserve">Azimuth angle (i.e., phi) range to cover: </w:t>
      </w:r>
    </w:p>
    <w:p w14:paraId="6EBA6879" w14:textId="77777777" w:rsidR="007A6B7B" w:rsidRPr="00EF7AB8" w:rsidRDefault="007A6B7B" w:rsidP="007A6B7B">
      <w:pPr>
        <w:pStyle w:val="ListParagraph"/>
        <w:numPr>
          <w:ilvl w:val="2"/>
          <w:numId w:val="24"/>
        </w:numPr>
        <w:spacing w:after="160" w:line="259" w:lineRule="auto"/>
        <w:ind w:left="301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Option-1: [-45, +45] degree relative to absolute coordination system</w:t>
      </w:r>
    </w:p>
    <w:p w14:paraId="39DFEC18" w14:textId="045ED4AE" w:rsidR="007A6B7B" w:rsidRPr="00E93CDA" w:rsidRDefault="007A6B7B" w:rsidP="00E93CDA">
      <w:pPr>
        <w:pStyle w:val="ListParagraph"/>
        <w:numPr>
          <w:ilvl w:val="2"/>
          <w:numId w:val="24"/>
        </w:numPr>
        <w:spacing w:after="160" w:line="259" w:lineRule="auto"/>
        <w:ind w:left="301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Option-2: [-25, +25] degree relative to UE declared boresight direction</w:t>
      </w:r>
    </w:p>
    <w:p w14:paraId="5E713693" w14:textId="77777777" w:rsidR="007A6B7B" w:rsidRPr="00EF7AB8" w:rsidRDefault="007A6B7B" w:rsidP="007A6B7B">
      <w:pPr>
        <w:pStyle w:val="ListParagraph"/>
        <w:numPr>
          <w:ilvl w:val="2"/>
          <w:numId w:val="24"/>
        </w:numPr>
        <w:spacing w:after="160" w:line="259" w:lineRule="auto"/>
        <w:ind w:left="301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Other options are not precluded</w:t>
      </w:r>
    </w:p>
    <w:p w14:paraId="3847962C" w14:textId="77777777" w:rsidR="007A6B7B" w:rsidRPr="00EF7AB8" w:rsidRDefault="007A6B7B" w:rsidP="007A6B7B">
      <w:pPr>
        <w:pStyle w:val="ListParagraph"/>
        <w:numPr>
          <w:ilvl w:val="1"/>
          <w:numId w:val="24"/>
        </w:numPr>
        <w:spacing w:after="160" w:line="259" w:lineRule="auto"/>
        <w:ind w:left="229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 xml:space="preserve">Elevation angle (i.e., theta) range to cover: </w:t>
      </w:r>
    </w:p>
    <w:p w14:paraId="2D58D79F" w14:textId="77777777" w:rsidR="007A6B7B" w:rsidRPr="00EF7AB8" w:rsidRDefault="007A6B7B" w:rsidP="007A6B7B">
      <w:pPr>
        <w:pStyle w:val="ListParagraph"/>
        <w:numPr>
          <w:ilvl w:val="2"/>
          <w:numId w:val="24"/>
        </w:numPr>
        <w:spacing w:after="160" w:line="259" w:lineRule="auto"/>
        <w:ind w:left="301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Option-1: [45, 90] degree relative to absolute coordination system</w:t>
      </w:r>
    </w:p>
    <w:p w14:paraId="4454CD19" w14:textId="77777777" w:rsidR="007A6B7B" w:rsidRDefault="007A6B7B" w:rsidP="007A6B7B">
      <w:pPr>
        <w:pStyle w:val="ListParagraph"/>
        <w:numPr>
          <w:ilvl w:val="2"/>
          <w:numId w:val="24"/>
        </w:numPr>
        <w:spacing w:after="160" w:line="259" w:lineRule="auto"/>
        <w:ind w:left="3012"/>
        <w:contextualSpacing w:val="0"/>
        <w:rPr>
          <w:rFonts w:eastAsia="DengXian"/>
          <w:highlight w:val="green"/>
        </w:rPr>
      </w:pPr>
      <w:r w:rsidRPr="00EF7AB8">
        <w:rPr>
          <w:rFonts w:eastAsia="DengXian"/>
          <w:highlight w:val="green"/>
        </w:rPr>
        <w:t>Option-2: [-10, +10] degree relative to UE declared boresight direction</w:t>
      </w:r>
    </w:p>
    <w:p w14:paraId="012271D6" w14:textId="030EFAD7" w:rsidR="00AB1675" w:rsidRPr="00DD07C5" w:rsidRDefault="00AB1675" w:rsidP="00E93CDA">
      <w:pPr>
        <w:pStyle w:val="ListParagraph"/>
        <w:spacing w:after="160" w:line="259" w:lineRule="auto"/>
        <w:ind w:left="3012"/>
        <w:contextualSpacing w:val="0"/>
        <w:rPr>
          <w:rFonts w:eastAsia="DengXian"/>
          <w:highlight w:val="yellow"/>
          <w:lang w:val="en-US"/>
        </w:rPr>
      </w:pPr>
    </w:p>
    <w:p w14:paraId="58FBE21F" w14:textId="29105A36" w:rsidR="0006682B" w:rsidRDefault="0006682B" w:rsidP="0006682B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The absolute coordinate may not be clear enough until the antenna panel</w:t>
      </w:r>
      <w:r w:rsidR="00DD07C5">
        <w:rPr>
          <w:rFonts w:eastAsia="ＭＳ Ｐゴシック"/>
          <w:lang w:val="en-US"/>
        </w:rPr>
        <w:t>s</w:t>
      </w:r>
      <w:r>
        <w:rPr>
          <w:rFonts w:eastAsia="ＭＳ Ｐゴシック"/>
          <w:lang w:val="en-US"/>
        </w:rPr>
        <w:t xml:space="preserve"> </w:t>
      </w:r>
      <w:r w:rsidR="00DD07C5">
        <w:rPr>
          <w:rFonts w:eastAsia="ＭＳ Ｐゴシック"/>
          <w:lang w:val="en-US"/>
        </w:rPr>
        <w:t>are</w:t>
      </w:r>
      <w:r>
        <w:rPr>
          <w:rFonts w:eastAsia="ＭＳ Ｐゴシック"/>
          <w:lang w:val="en-US"/>
        </w:rPr>
        <w:t xml:space="preserve"> installed on the rooftop of the train</w:t>
      </w:r>
      <w:r w:rsidR="00F7454F">
        <w:rPr>
          <w:rFonts w:eastAsia="ＭＳ Ｐゴシック"/>
          <w:lang w:val="en-US"/>
        </w:rPr>
        <w:t>, as we understand the absolute direction is defined for the train and rail track</w:t>
      </w:r>
      <w:r>
        <w:rPr>
          <w:rFonts w:eastAsia="ＭＳ Ｐゴシック"/>
          <w:lang w:val="en-US"/>
        </w:rPr>
        <w:t xml:space="preserve">. </w:t>
      </w:r>
      <w:r w:rsidR="00F7454F">
        <w:rPr>
          <w:rFonts w:eastAsia="ＭＳ Ｐゴシック"/>
          <w:lang w:val="en-US"/>
        </w:rPr>
        <w:t>S</w:t>
      </w:r>
      <w:r w:rsidR="008055C7">
        <w:rPr>
          <w:rFonts w:eastAsia="ＭＳ Ｐゴシック"/>
          <w:lang w:val="en-US"/>
        </w:rPr>
        <w:t xml:space="preserve">ome </w:t>
      </w:r>
      <w:r>
        <w:rPr>
          <w:rFonts w:eastAsia="ＭＳ Ｐゴシック"/>
          <w:lang w:val="en-US"/>
        </w:rPr>
        <w:t xml:space="preserve">UE </w:t>
      </w:r>
      <w:r w:rsidR="008055C7">
        <w:rPr>
          <w:rFonts w:eastAsia="ＭＳ Ｐゴシック"/>
          <w:lang w:val="en-US"/>
        </w:rPr>
        <w:t xml:space="preserve">implementation </w:t>
      </w:r>
      <w:r>
        <w:rPr>
          <w:rFonts w:eastAsia="ＭＳ Ｐゴシック"/>
          <w:lang w:val="en-US"/>
        </w:rPr>
        <w:t xml:space="preserve">may support adjustment of boresight </w:t>
      </w:r>
      <w:r w:rsidR="00DD07C5">
        <w:rPr>
          <w:rFonts w:eastAsia="ＭＳ Ｐゴシック"/>
          <w:lang w:val="en-US"/>
        </w:rPr>
        <w:t xml:space="preserve">direction </w:t>
      </w:r>
      <w:r>
        <w:rPr>
          <w:rFonts w:eastAsia="ＭＳ Ｐゴシック"/>
          <w:lang w:val="en-US"/>
        </w:rPr>
        <w:t xml:space="preserve">with mechanical tilt at the time of installation. </w:t>
      </w:r>
      <w:r w:rsidR="008055C7">
        <w:rPr>
          <w:rFonts w:eastAsia="ＭＳ Ｐゴシック"/>
          <w:lang w:val="en-US"/>
        </w:rPr>
        <w:t>Furthermore, t</w:t>
      </w:r>
      <w:r>
        <w:rPr>
          <w:rFonts w:eastAsia="ＭＳ Ｐゴシック"/>
          <w:lang w:val="en-US"/>
        </w:rPr>
        <w:t xml:space="preserve">he conformance testing would be done with </w:t>
      </w:r>
      <w:r w:rsidR="008055C7">
        <w:rPr>
          <w:rFonts w:eastAsia="ＭＳ Ｐゴシック"/>
          <w:lang w:val="en-US"/>
        </w:rPr>
        <w:t>the UE</w:t>
      </w:r>
      <w:r>
        <w:rPr>
          <w:rFonts w:eastAsia="ＭＳ Ｐゴシック"/>
          <w:lang w:val="en-US"/>
        </w:rPr>
        <w:t xml:space="preserve"> in a test chamber before installation</w:t>
      </w:r>
      <w:r w:rsidR="00E93CDA">
        <w:rPr>
          <w:rFonts w:eastAsia="ＭＳ Ｐゴシック"/>
          <w:lang w:val="en-US"/>
        </w:rPr>
        <w:t xml:space="preserve"> onto the train</w:t>
      </w:r>
      <w:r>
        <w:rPr>
          <w:rFonts w:eastAsia="ＭＳ Ｐゴシック"/>
          <w:lang w:val="en-US"/>
        </w:rPr>
        <w:t xml:space="preserve">. </w:t>
      </w:r>
      <w:r w:rsidR="008055C7">
        <w:rPr>
          <w:rFonts w:eastAsia="ＭＳ Ｐゴシック"/>
          <w:lang w:val="en-US"/>
        </w:rPr>
        <w:t>There is no absolute coordinate in the test chamber, so it is anyway necessary to indicate how the UE is installed on the train to define the coordinate. T</w:t>
      </w:r>
      <w:r>
        <w:rPr>
          <w:rFonts w:eastAsia="ＭＳ Ｐゴシック"/>
          <w:lang w:val="en-US"/>
        </w:rPr>
        <w:t xml:space="preserve">herefore, </w:t>
      </w:r>
      <w:r w:rsidR="008055C7">
        <w:rPr>
          <w:rFonts w:eastAsia="ＭＳ Ｐゴシック"/>
          <w:lang w:val="en-US"/>
        </w:rPr>
        <w:t xml:space="preserve">declaration of either coordinate (i.e., a direction of the train) or boresight (i.e., a direction of the beam) is </w:t>
      </w:r>
      <w:r w:rsidR="008055C7">
        <w:rPr>
          <w:rFonts w:eastAsia="ＭＳ Ｐゴシック"/>
          <w:lang w:val="en-US"/>
        </w:rPr>
        <w:lastRenderedPageBreak/>
        <w:t>anyway needed</w:t>
      </w:r>
      <w:r w:rsidR="004744A2">
        <w:rPr>
          <w:rFonts w:eastAsia="ＭＳ Ｐゴシック"/>
          <w:lang w:val="en-US"/>
        </w:rPr>
        <w:t xml:space="preserve"> to conduct the OTA testing</w:t>
      </w:r>
      <w:r w:rsidR="00DD07C5">
        <w:rPr>
          <w:rFonts w:eastAsia="ＭＳ Ｐゴシック"/>
          <w:lang w:val="en-US"/>
        </w:rPr>
        <w:t>.</w:t>
      </w:r>
      <w:r w:rsidR="001C0841">
        <w:rPr>
          <w:rFonts w:eastAsia="ＭＳ Ｐゴシック"/>
          <w:lang w:val="en-US"/>
        </w:rPr>
        <w:t xml:space="preserve"> Option 2 (declaration of boresight</w:t>
      </w:r>
      <w:r w:rsidR="004744A2">
        <w:rPr>
          <w:rFonts w:eastAsia="ＭＳ Ｐゴシック"/>
          <w:lang w:val="en-US"/>
        </w:rPr>
        <w:t xml:space="preserve"> </w:t>
      </w:r>
      <w:r w:rsidR="00F478C1">
        <w:rPr>
          <w:rFonts w:eastAsia="ＭＳ Ｐゴシック"/>
          <w:lang w:val="en-US"/>
        </w:rPr>
        <w:t>direction</w:t>
      </w:r>
      <w:r w:rsidR="001C0841">
        <w:rPr>
          <w:rFonts w:eastAsia="ＭＳ Ｐゴシック"/>
          <w:lang w:val="en-US"/>
        </w:rPr>
        <w:t>) will provide more flexibility w.r.t. in UE implementations and installations.</w:t>
      </w:r>
    </w:p>
    <w:p w14:paraId="521EAD1B" w14:textId="4D886B9C" w:rsidR="0006682B" w:rsidRDefault="0006682B" w:rsidP="0006682B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Although the exact test procedure may be up to RAN5, only declared directions (or declared spherical coverage area) per panel can be tested, i.e., at most a half of the sphere per panel</w:t>
      </w:r>
      <w:r w:rsidR="004744A2">
        <w:rPr>
          <w:rFonts w:eastAsia="ＭＳ Ｐゴシック"/>
          <w:lang w:val="en-US"/>
        </w:rPr>
        <w:t xml:space="preserve"> (or even much smaller than the half to limit the number of tested directions)</w:t>
      </w:r>
      <w:r>
        <w:rPr>
          <w:rFonts w:eastAsia="ＭＳ Ｐゴシック"/>
          <w:lang w:val="en-US"/>
        </w:rPr>
        <w:t xml:space="preserve">. This may save the test time not to find the peak direction </w:t>
      </w:r>
      <w:r w:rsidR="00062A08">
        <w:rPr>
          <w:rFonts w:eastAsia="ＭＳ Ｐゴシック"/>
          <w:lang w:val="en-US"/>
        </w:rPr>
        <w:t>or</w:t>
      </w:r>
      <w:r>
        <w:rPr>
          <w:rFonts w:eastAsia="ＭＳ Ｐゴシック"/>
          <w:lang w:val="en-US"/>
        </w:rPr>
        <w:t xml:space="preserve"> test all the </w:t>
      </w:r>
      <w:r w:rsidR="00480969">
        <w:rPr>
          <w:rFonts w:eastAsia="ＭＳ Ｐゴシック"/>
          <w:lang w:val="en-US"/>
        </w:rPr>
        <w:t xml:space="preserve">test points for the entire </w:t>
      </w:r>
      <w:r>
        <w:rPr>
          <w:rFonts w:eastAsia="ＭＳ Ｐゴシック"/>
          <w:lang w:val="en-US"/>
        </w:rPr>
        <w:t>sphere to find the coverage area.</w:t>
      </w:r>
      <w:r w:rsidR="004744A2">
        <w:rPr>
          <w:rFonts w:eastAsia="ＭＳ Ｐゴシック"/>
          <w:lang w:val="en-US"/>
        </w:rPr>
        <w:t xml:space="preserve"> Therefore, declaration</w:t>
      </w:r>
      <w:r w:rsidR="00D41045">
        <w:rPr>
          <w:rFonts w:eastAsia="ＭＳ Ｐゴシック"/>
          <w:lang w:val="en-US"/>
        </w:rPr>
        <w:t>-</w:t>
      </w:r>
      <w:r w:rsidR="004744A2">
        <w:rPr>
          <w:rFonts w:eastAsia="ＭＳ Ｐゴシック"/>
          <w:lang w:val="en-US"/>
        </w:rPr>
        <w:t>based testing makes much more sense for this type of UEs; on the other hand, handheld devices need to cover wide spherical area, so the entire sphere needs to be tested</w:t>
      </w:r>
      <w:r w:rsidR="005E08BC">
        <w:rPr>
          <w:rFonts w:eastAsia="ＭＳ Ｐゴシック"/>
          <w:lang w:val="en-US"/>
        </w:rPr>
        <w:t xml:space="preserve"> anyway</w:t>
      </w:r>
      <w:r w:rsidR="004744A2">
        <w:rPr>
          <w:rFonts w:eastAsia="ＭＳ Ｐゴシック"/>
          <w:lang w:val="en-US"/>
        </w:rPr>
        <w:t>.</w:t>
      </w:r>
    </w:p>
    <w:p w14:paraId="07A916B6" w14:textId="53ED1EE7" w:rsidR="00E655B9" w:rsidRDefault="00E655B9" w:rsidP="00E655B9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36699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Absolute coordinate may not be clear enough in the conformance test environment.</w:t>
      </w:r>
    </w:p>
    <w:p w14:paraId="625B686C" w14:textId="6B3243FC" w:rsidR="00C64A6E" w:rsidRDefault="0092735F" w:rsidP="00D6262C">
      <w:pPr>
        <w:rPr>
          <w:b/>
          <w:bCs/>
          <w:i/>
          <w:iCs/>
        </w:rPr>
      </w:pPr>
      <w:r w:rsidRPr="00366991">
        <w:rPr>
          <w:b/>
          <w:bCs/>
          <w:i/>
          <w:iCs/>
        </w:rPr>
        <w:t xml:space="preserve">Proposal </w:t>
      </w:r>
      <w:r w:rsidR="004744A2"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 w:rsidR="00EE0B54" w:rsidRPr="00EE0B54">
        <w:rPr>
          <w:b/>
          <w:bCs/>
          <w:i/>
          <w:iCs/>
        </w:rPr>
        <w:t>Coordination is based on relative angles from UE declared boresight directions</w:t>
      </w:r>
      <w:r w:rsidR="00EE0B54">
        <w:rPr>
          <w:b/>
          <w:bCs/>
          <w:i/>
          <w:iCs/>
        </w:rPr>
        <w:t>.</w:t>
      </w:r>
    </w:p>
    <w:p w14:paraId="20CAE8C7" w14:textId="2350EAFE" w:rsidR="00AB1675" w:rsidRDefault="00AB1675" w:rsidP="00D6262C">
      <w:pPr>
        <w:rPr>
          <w:b/>
          <w:bCs/>
          <w:i/>
          <w:iCs/>
        </w:rPr>
      </w:pPr>
    </w:p>
    <w:p w14:paraId="7253DDCC" w14:textId="13FC5453" w:rsidR="00AB1675" w:rsidRDefault="008A27D8" w:rsidP="00D6262C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Regarding the spherical coverage x%-tile point, two proposals were discussed in RAN4#101e. Option 1 is to use the spherical area based on deployment geometry, i.e., phi range [-45, +45] and theta range [+45, +90] in the absolute coordinate system proposed in [5]</w:t>
      </w:r>
      <w:r w:rsidR="00903DC4">
        <w:rPr>
          <w:rFonts w:eastAsia="ＭＳ Ｐゴシック"/>
          <w:lang w:val="en-US"/>
        </w:rPr>
        <w:t xml:space="preserve"> for </w:t>
      </w:r>
      <w:r>
        <w:rPr>
          <w:rFonts w:eastAsia="ＭＳ Ｐゴシック"/>
          <w:lang w:val="en-US"/>
        </w:rPr>
        <w:t xml:space="preserve">the worst-case angles </w:t>
      </w:r>
      <w:r w:rsidR="00903DC4">
        <w:rPr>
          <w:rFonts w:eastAsia="ＭＳ Ｐゴシック"/>
          <w:lang w:val="en-US"/>
        </w:rPr>
        <w:t>of the beams. Option 2</w:t>
      </w:r>
      <w:r>
        <w:rPr>
          <w:rFonts w:eastAsia="ＭＳ Ｐゴシック"/>
          <w:lang w:val="en-US"/>
        </w:rPr>
        <w:t xml:space="preserve"> is based on the target beam coverage (or </w:t>
      </w:r>
      <w:r w:rsidR="00903DC4">
        <w:rPr>
          <w:rFonts w:eastAsia="ＭＳ Ｐゴシック"/>
          <w:lang w:val="en-US"/>
        </w:rPr>
        <w:t xml:space="preserve">coverage of all </w:t>
      </w:r>
      <w:r>
        <w:rPr>
          <w:rFonts w:eastAsia="ＭＳ Ｐゴシック"/>
          <w:lang w:val="en-US"/>
        </w:rPr>
        <w:t>beam</w:t>
      </w:r>
      <w:r w:rsidR="007540EC">
        <w:rPr>
          <w:rFonts w:eastAsia="ＭＳ Ｐゴシック"/>
          <w:lang w:val="en-US"/>
        </w:rPr>
        <w:t>s</w:t>
      </w:r>
      <w:r>
        <w:rPr>
          <w:rFonts w:eastAsia="ＭＳ Ｐゴシック"/>
          <w:lang w:val="en-US"/>
        </w:rPr>
        <w:t xml:space="preserve"> width), i.e., phi range [-25, +25] and theta range [-10, +10]</w:t>
      </w:r>
      <w:r w:rsidR="00903DC4">
        <w:rPr>
          <w:rFonts w:eastAsia="ＭＳ Ｐゴシック"/>
          <w:lang w:val="en-US"/>
        </w:rPr>
        <w:t xml:space="preserve"> in the declared boresight directions</w:t>
      </w:r>
      <w:r>
        <w:rPr>
          <w:rFonts w:eastAsia="ＭＳ Ｐゴシック"/>
          <w:lang w:val="en-US"/>
        </w:rPr>
        <w:t>.</w:t>
      </w:r>
    </w:p>
    <w:p w14:paraId="2E3C6E2E" w14:textId="3842D74C" w:rsidR="00903DC4" w:rsidRDefault="00903DC4" w:rsidP="00D6262C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 xml:space="preserve">Option 1 can verify the performance </w:t>
      </w:r>
      <w:r w:rsidR="004D3547">
        <w:rPr>
          <w:rFonts w:eastAsia="ＭＳ Ｐゴシック"/>
          <w:lang w:val="en-US"/>
        </w:rPr>
        <w:t xml:space="preserve">even </w:t>
      </w:r>
      <w:r>
        <w:rPr>
          <w:rFonts w:eastAsia="ＭＳ Ｐゴシック"/>
          <w:lang w:val="en-US"/>
        </w:rPr>
        <w:t xml:space="preserve">for the worst-case </w:t>
      </w:r>
      <w:r w:rsidR="0052256B">
        <w:rPr>
          <w:rFonts w:eastAsia="ＭＳ Ｐゴシック"/>
          <w:lang w:val="en-US"/>
        </w:rPr>
        <w:t>angle;</w:t>
      </w:r>
      <w:r w:rsidR="00E768BB">
        <w:rPr>
          <w:rFonts w:eastAsia="ＭＳ Ｐゴシック"/>
          <w:lang w:val="en-US"/>
        </w:rPr>
        <w:t xml:space="preserve"> thus, it can guarantee the performance until the </w:t>
      </w:r>
      <w:r w:rsidR="00F7454F">
        <w:rPr>
          <w:rFonts w:eastAsia="ＭＳ Ｐゴシック"/>
          <w:lang w:val="en-US"/>
        </w:rPr>
        <w:t xml:space="preserve">last possible </w:t>
      </w:r>
      <w:r w:rsidR="00E768BB">
        <w:rPr>
          <w:rFonts w:eastAsia="ＭＳ Ｐゴシック"/>
          <w:lang w:val="en-US"/>
        </w:rPr>
        <w:t xml:space="preserve">beam switch point or the minimum distance to RRH. However, </w:t>
      </w:r>
      <w:r>
        <w:rPr>
          <w:rFonts w:eastAsia="ＭＳ Ｐゴシック"/>
          <w:lang w:val="en-US"/>
        </w:rPr>
        <w:t xml:space="preserve">EIRP/EIS drop could be very large at the worst-case angle, so the requirement may need to be relaxed too much (or it may be too stringent if </w:t>
      </w:r>
      <w:r w:rsidR="00E768BB">
        <w:rPr>
          <w:rFonts w:eastAsia="ＭＳ Ｐゴシック"/>
          <w:lang w:val="en-US"/>
        </w:rPr>
        <w:t xml:space="preserve">EIRP/EIS drop </w:t>
      </w:r>
      <w:r>
        <w:rPr>
          <w:rFonts w:eastAsia="ＭＳ Ｐゴシック"/>
          <w:lang w:val="en-US"/>
        </w:rPr>
        <w:t>[X] dB is small).</w:t>
      </w:r>
      <w:r w:rsidR="00106C02">
        <w:rPr>
          <w:rFonts w:eastAsia="ＭＳ Ｐゴシック"/>
          <w:lang w:val="en-US"/>
        </w:rPr>
        <w:t xml:space="preserve"> Even such a</w:t>
      </w:r>
      <w:r w:rsidR="001A2BED">
        <w:rPr>
          <w:rFonts w:eastAsia="ＭＳ Ｐゴシック"/>
          <w:lang w:val="en-US"/>
        </w:rPr>
        <w:t>n</w:t>
      </w:r>
      <w:r w:rsidR="00106C02">
        <w:rPr>
          <w:rFonts w:eastAsia="ＭＳ Ｐゴシック"/>
          <w:lang w:val="en-US"/>
        </w:rPr>
        <w:t xml:space="preserve"> EIRP/EIS drop is large, UE can still work in the network by triggering a handover earlier to the next RRH, so this worst-case angle does not need to be tested explicitly</w:t>
      </w:r>
      <w:r w:rsidR="00304CD9">
        <w:rPr>
          <w:rFonts w:eastAsia="ＭＳ Ｐゴシック"/>
          <w:lang w:val="en-US"/>
        </w:rPr>
        <w:t xml:space="preserve"> as a RAN4 minimum requirement</w:t>
      </w:r>
      <w:r w:rsidR="00106C02">
        <w:rPr>
          <w:rFonts w:eastAsia="ＭＳ Ｐゴシック"/>
          <w:lang w:val="en-US"/>
        </w:rPr>
        <w:t>. Further, t</w:t>
      </w:r>
      <w:r w:rsidR="007540EC">
        <w:rPr>
          <w:rFonts w:eastAsia="ＭＳ Ｐゴシック"/>
          <w:lang w:val="en-US"/>
        </w:rPr>
        <w:t>he worst-case angle could be covered by side lobes in some UE implementation so i</w:t>
      </w:r>
      <w:r>
        <w:rPr>
          <w:rFonts w:eastAsia="ＭＳ Ｐゴシック"/>
          <w:lang w:val="en-US"/>
        </w:rPr>
        <w:t>t would be difficult to agree [X] dB at the worst-case beam angle</w:t>
      </w:r>
      <w:r w:rsidR="001F3FA8">
        <w:rPr>
          <w:rFonts w:eastAsia="ＭＳ Ｐゴシック"/>
          <w:lang w:val="en-US"/>
        </w:rPr>
        <w:t xml:space="preserve"> among all UE implementations</w:t>
      </w:r>
      <w:r w:rsidR="00D41045">
        <w:rPr>
          <w:rFonts w:eastAsia="ＭＳ Ｐゴシック"/>
          <w:lang w:val="en-US"/>
        </w:rPr>
        <w:t xml:space="preserve"> due to large product</w:t>
      </w:r>
      <w:r w:rsidR="00C95788">
        <w:rPr>
          <w:rFonts w:eastAsia="ＭＳ Ｐゴシック"/>
          <w:lang w:val="en-US"/>
        </w:rPr>
        <w:t>ion</w:t>
      </w:r>
      <w:r w:rsidR="00D41045">
        <w:rPr>
          <w:rFonts w:eastAsia="ＭＳ Ｐゴシック"/>
          <w:lang w:val="en-US"/>
        </w:rPr>
        <w:t xml:space="preserve"> variations of side lobe characteristics</w:t>
      </w:r>
      <w:r w:rsidR="00543092">
        <w:rPr>
          <w:rFonts w:eastAsia="ＭＳ Ｐゴシック"/>
          <w:lang w:val="en-US"/>
        </w:rPr>
        <w:t>.</w:t>
      </w:r>
      <w:r w:rsidR="001C0841">
        <w:rPr>
          <w:rFonts w:eastAsia="ＭＳ Ｐゴシック"/>
          <w:lang w:val="en-US"/>
        </w:rPr>
        <w:t xml:space="preserve"> Furthermore, this worst-case angle </w:t>
      </w:r>
      <w:r w:rsidR="00AF1E14">
        <w:rPr>
          <w:rFonts w:eastAsia="ＭＳ Ｐゴシック"/>
          <w:lang w:val="en-US"/>
        </w:rPr>
        <w:t>+/-45 degree</w:t>
      </w:r>
      <w:r w:rsidR="001C0841">
        <w:rPr>
          <w:rFonts w:eastAsia="ＭＳ Ｐゴシック"/>
          <w:lang w:val="en-US"/>
        </w:rPr>
        <w:t xml:space="preserve"> was once agreed for </w:t>
      </w:r>
      <w:r w:rsidR="00D41045">
        <w:rPr>
          <w:rFonts w:eastAsia="ＭＳ Ｐゴシック"/>
          <w:lang w:val="en-US"/>
        </w:rPr>
        <w:t>D</w:t>
      </w:r>
      <w:r w:rsidR="001C0841">
        <w:rPr>
          <w:rFonts w:eastAsia="ＭＳ Ｐゴシック"/>
          <w:lang w:val="en-US"/>
        </w:rPr>
        <w:t>emod requirement, which is too extreme in our view.</w:t>
      </w:r>
    </w:p>
    <w:p w14:paraId="3C9C2E53" w14:textId="22DCFC31" w:rsidR="00903DC4" w:rsidRDefault="00903DC4" w:rsidP="00D6262C">
      <w:pPr>
        <w:rPr>
          <w:b/>
          <w:bCs/>
          <w:i/>
          <w:iCs/>
        </w:rPr>
      </w:pPr>
      <w:r>
        <w:rPr>
          <w:rFonts w:eastAsia="ＭＳ Ｐゴシック"/>
          <w:lang w:val="en-US"/>
        </w:rPr>
        <w:t xml:space="preserve">On the other hand, Option 2 </w:t>
      </w:r>
      <w:r w:rsidR="00AC2BD1">
        <w:rPr>
          <w:rFonts w:eastAsia="ＭＳ Ｐゴシック"/>
          <w:lang w:val="en-US"/>
        </w:rPr>
        <w:t>would be</w:t>
      </w:r>
      <w:r>
        <w:rPr>
          <w:rFonts w:eastAsia="ＭＳ Ｐゴシック"/>
          <w:lang w:val="en-US"/>
        </w:rPr>
        <w:t xml:space="preserve"> based on </w:t>
      </w:r>
      <w:r w:rsidR="000E3A08">
        <w:rPr>
          <w:rFonts w:eastAsia="ＭＳ Ｐゴシック"/>
          <w:lang w:val="en-US"/>
        </w:rPr>
        <w:t xml:space="preserve">the coverage of </w:t>
      </w:r>
      <w:r>
        <w:rPr>
          <w:rFonts w:eastAsia="ＭＳ Ｐゴシック"/>
          <w:lang w:val="en-US"/>
        </w:rPr>
        <w:t xml:space="preserve">the intrinsic </w:t>
      </w:r>
      <w:r w:rsidR="007540EC">
        <w:rPr>
          <w:rFonts w:eastAsia="ＭＳ Ｐゴシック"/>
          <w:lang w:val="en-US"/>
        </w:rPr>
        <w:t xml:space="preserve">main lobe </w:t>
      </w:r>
      <w:r>
        <w:rPr>
          <w:rFonts w:eastAsia="ＭＳ Ｐゴシック"/>
          <w:lang w:val="en-US"/>
        </w:rPr>
        <w:t>beam width</w:t>
      </w:r>
      <w:r w:rsidR="000E3A08">
        <w:rPr>
          <w:rFonts w:eastAsia="ＭＳ Ｐゴシック"/>
          <w:lang w:val="en-US"/>
        </w:rPr>
        <w:t>s</w:t>
      </w:r>
      <w:r>
        <w:rPr>
          <w:rFonts w:eastAsia="ＭＳ Ｐゴシック"/>
          <w:lang w:val="en-US"/>
        </w:rPr>
        <w:t>, so it would be more suited for the test point</w:t>
      </w:r>
      <w:r w:rsidR="00542778">
        <w:rPr>
          <w:rFonts w:eastAsia="ＭＳ Ｐゴシック"/>
          <w:lang w:val="en-US"/>
        </w:rPr>
        <w:t xml:space="preserve"> to </w:t>
      </w:r>
      <w:r w:rsidR="007540EC">
        <w:rPr>
          <w:rFonts w:eastAsia="ＭＳ Ｐゴシック"/>
          <w:lang w:val="en-US"/>
        </w:rPr>
        <w:t xml:space="preserve">define and </w:t>
      </w:r>
      <w:r w:rsidR="00542778">
        <w:rPr>
          <w:rFonts w:eastAsia="ＭＳ Ｐゴシック"/>
          <w:lang w:val="en-US"/>
        </w:rPr>
        <w:t>distinguish the performance</w:t>
      </w:r>
      <w:r w:rsidR="00E768BB">
        <w:rPr>
          <w:rFonts w:eastAsia="ＭＳ Ｐゴシック"/>
          <w:lang w:val="en-US"/>
        </w:rPr>
        <w:t xml:space="preserve"> among UE implementations</w:t>
      </w:r>
      <w:r>
        <w:rPr>
          <w:rFonts w:eastAsia="ＭＳ Ｐゴシック"/>
          <w:lang w:val="en-US"/>
        </w:rPr>
        <w:t xml:space="preserve">. </w:t>
      </w:r>
      <w:r w:rsidR="00EE044D">
        <w:rPr>
          <w:rFonts w:eastAsia="ＭＳ Ｐゴシック"/>
          <w:lang w:val="en-US"/>
        </w:rPr>
        <w:t xml:space="preserve">In other word, it is a sweet spot for testing EIRP/EIS drop at this %-tile point. </w:t>
      </w:r>
      <w:r w:rsidR="00542778">
        <w:rPr>
          <w:rFonts w:eastAsia="ＭＳ Ｐゴシック"/>
          <w:lang w:val="en-US"/>
        </w:rPr>
        <w:t>Therefore, i</w:t>
      </w:r>
      <w:r>
        <w:rPr>
          <w:rFonts w:eastAsia="ＭＳ Ｐゴシック"/>
          <w:lang w:val="en-US"/>
        </w:rPr>
        <w:t>t is proposed to take Option 2</w:t>
      </w:r>
      <w:r w:rsidR="007540EC">
        <w:rPr>
          <w:rFonts w:eastAsia="ＭＳ Ｐゴシック"/>
          <w:lang w:val="en-US"/>
        </w:rPr>
        <w:t xml:space="preserve"> such that </w:t>
      </w:r>
      <w:r w:rsidR="00E768BB">
        <w:rPr>
          <w:rFonts w:eastAsia="ＭＳ Ｐゴシック"/>
          <w:lang w:val="en-US"/>
        </w:rPr>
        <w:t>[</w:t>
      </w:r>
      <w:r>
        <w:rPr>
          <w:rFonts w:eastAsia="ＭＳ Ｐゴシック"/>
          <w:lang w:val="en-US"/>
        </w:rPr>
        <w:t>X</w:t>
      </w:r>
      <w:r w:rsidR="00E768BB">
        <w:rPr>
          <w:rFonts w:eastAsia="ＭＳ Ｐゴシック"/>
          <w:lang w:val="en-US"/>
        </w:rPr>
        <w:t xml:space="preserve">] dB </w:t>
      </w:r>
      <w:r>
        <w:rPr>
          <w:rFonts w:eastAsia="ＭＳ Ｐゴシック"/>
          <w:lang w:val="en-US"/>
        </w:rPr>
        <w:t xml:space="preserve">is </w:t>
      </w:r>
      <w:r w:rsidR="00E768BB">
        <w:rPr>
          <w:rFonts w:eastAsia="ＭＳ Ｐゴシック"/>
          <w:lang w:val="en-US"/>
        </w:rPr>
        <w:t>not too large</w:t>
      </w:r>
      <w:r w:rsidR="00C95788">
        <w:rPr>
          <w:rFonts w:eastAsia="ＭＳ Ｐゴシック"/>
          <w:lang w:val="en-US"/>
        </w:rPr>
        <w:t xml:space="preserve"> or uns</w:t>
      </w:r>
      <w:r w:rsidR="00B32712">
        <w:rPr>
          <w:rFonts w:eastAsia="ＭＳ Ｐゴシック"/>
          <w:lang w:val="en-US"/>
        </w:rPr>
        <w:t>uited for testing.</w:t>
      </w:r>
    </w:p>
    <w:p w14:paraId="7FC176A8" w14:textId="17381129" w:rsidR="00791697" w:rsidRDefault="00EE0B54" w:rsidP="00EE0B5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4744A2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Pr="00EE0B54">
        <w:rPr>
          <w:b/>
          <w:bCs/>
          <w:i/>
          <w:iCs/>
        </w:rPr>
        <w:t>Azimuth angle (i.e., phi) range to cover [-25, +25] degree relative to UE declared boresight direction</w:t>
      </w:r>
      <w:r w:rsidR="001A308F">
        <w:rPr>
          <w:b/>
          <w:bCs/>
          <w:i/>
          <w:iCs/>
        </w:rPr>
        <w:t>.</w:t>
      </w:r>
    </w:p>
    <w:p w14:paraId="483A480D" w14:textId="0E8CBD0B" w:rsidR="001A308F" w:rsidRPr="00366991" w:rsidRDefault="001A308F" w:rsidP="00EE0B5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4744A2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: </w:t>
      </w:r>
      <w:r w:rsidRPr="001A308F">
        <w:rPr>
          <w:b/>
          <w:bCs/>
          <w:i/>
          <w:iCs/>
        </w:rPr>
        <w:t>Elevation angle (i.e., theta) range to cover: [-10, +10] degree relative to UE declared boresight direction</w:t>
      </w:r>
      <w:r>
        <w:rPr>
          <w:b/>
          <w:bCs/>
          <w:i/>
          <w:iCs/>
        </w:rPr>
        <w:t>.</w:t>
      </w:r>
    </w:p>
    <w:p w14:paraId="16207F8D" w14:textId="6025C195" w:rsidR="004D7480" w:rsidRPr="00DC6358" w:rsidRDefault="004D7480" w:rsidP="004D7480">
      <w:pPr>
        <w:pStyle w:val="Heading1"/>
      </w:pPr>
      <w:r>
        <w:t>Conclusion</w:t>
      </w:r>
    </w:p>
    <w:p w14:paraId="44F2E548" w14:textId="119D8D00" w:rsidR="00D6262C" w:rsidRDefault="00D6262C" w:rsidP="00D873C6">
      <w:pPr>
        <w:rPr>
          <w:rFonts w:eastAsia="ＭＳ Ｐゴシック"/>
          <w:b/>
          <w:bCs/>
          <w:i/>
          <w:iCs/>
        </w:rPr>
      </w:pPr>
      <w:r>
        <w:t xml:space="preserve">In this contribution, the UE </w:t>
      </w:r>
      <w:r w:rsidR="003E238C">
        <w:t xml:space="preserve">RF </w:t>
      </w:r>
      <w:r>
        <w:t>requirement for FR2 HST has been discussed.</w:t>
      </w:r>
    </w:p>
    <w:p w14:paraId="2C9E0C91" w14:textId="24221753" w:rsidR="00E655B9" w:rsidRDefault="00E655B9" w:rsidP="00E655B9">
      <w:p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36699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Absolute coordinate may not be clear enough in the conformance test environment.</w:t>
      </w:r>
    </w:p>
    <w:p w14:paraId="1776404F" w14:textId="6FF76D1A" w:rsidR="003E238C" w:rsidRDefault="003E238C" w:rsidP="003E238C">
      <w:pPr>
        <w:rPr>
          <w:b/>
          <w:bCs/>
          <w:i/>
          <w:iCs/>
        </w:rPr>
      </w:pPr>
      <w:r w:rsidRPr="00366991">
        <w:rPr>
          <w:b/>
          <w:bCs/>
          <w:i/>
          <w:iCs/>
        </w:rPr>
        <w:t xml:space="preserve">Proposal </w:t>
      </w:r>
      <w:r w:rsidR="004744A2"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 w:rsidRPr="00EE0B54">
        <w:rPr>
          <w:b/>
          <w:bCs/>
          <w:i/>
          <w:iCs/>
        </w:rPr>
        <w:t>Coordination is based on relative angles from UE declared boresight directions</w:t>
      </w:r>
      <w:r>
        <w:rPr>
          <w:b/>
          <w:bCs/>
          <w:i/>
          <w:iCs/>
        </w:rPr>
        <w:t>.</w:t>
      </w:r>
    </w:p>
    <w:p w14:paraId="1E5874D2" w14:textId="5794B430" w:rsidR="003E238C" w:rsidRDefault="003E238C" w:rsidP="003E238C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4744A2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Pr="00EE0B54">
        <w:rPr>
          <w:b/>
          <w:bCs/>
          <w:i/>
          <w:iCs/>
        </w:rPr>
        <w:t>Azimuth angle (i.e., phi) range to cover [-25, +25] degree relative to UE declared boresight direction</w:t>
      </w:r>
      <w:r>
        <w:rPr>
          <w:b/>
          <w:bCs/>
          <w:i/>
          <w:iCs/>
        </w:rPr>
        <w:t>.</w:t>
      </w:r>
    </w:p>
    <w:p w14:paraId="42866D2D" w14:textId="477553A0" w:rsidR="003E238C" w:rsidRPr="00366991" w:rsidRDefault="003E238C" w:rsidP="003E238C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4744A2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: </w:t>
      </w:r>
      <w:r w:rsidRPr="001A308F">
        <w:rPr>
          <w:b/>
          <w:bCs/>
          <w:i/>
          <w:iCs/>
        </w:rPr>
        <w:t>Elevation angle (i.e., theta) range to cover: [-10, +10] degree relative to UE declared boresight direction</w:t>
      </w:r>
      <w:r>
        <w:rPr>
          <w:b/>
          <w:bCs/>
          <w:i/>
          <w:iCs/>
        </w:rPr>
        <w:t>.</w:t>
      </w:r>
    </w:p>
    <w:p w14:paraId="7A54D71A" w14:textId="2421139F" w:rsidR="00255C6A" w:rsidRPr="00366991" w:rsidRDefault="00255C6A" w:rsidP="00255C6A">
      <w:pPr>
        <w:rPr>
          <w:b/>
          <w:bCs/>
          <w:i/>
          <w:iCs/>
        </w:rPr>
      </w:pP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514D8AD0" w14:textId="501DFBC7" w:rsidR="00DC6358" w:rsidRDefault="00FE70CD" w:rsidP="00D6262C">
      <w:r>
        <w:t xml:space="preserve">[1] </w:t>
      </w:r>
      <w:r w:rsidR="005101F7" w:rsidRPr="005101F7">
        <w:t>RP-210800</w:t>
      </w:r>
      <w:r w:rsidR="00937F67">
        <w:t xml:space="preserve"> </w:t>
      </w:r>
      <w:r w:rsidR="00937F67" w:rsidRPr="00937F67">
        <w:t>Revised WID on NR support for high speed train scenario in frequency range 2 (FR2)</w:t>
      </w:r>
      <w:r w:rsidR="00D6262C" w:rsidRPr="00D6262C">
        <w:t xml:space="preserve">, </w:t>
      </w:r>
      <w:r w:rsidR="00D6262C">
        <w:t>RAN#</w:t>
      </w:r>
      <w:r w:rsidR="005101F7">
        <w:t>91</w:t>
      </w:r>
      <w:r w:rsidR="00D6262C">
        <w:t>-e</w:t>
      </w:r>
    </w:p>
    <w:p w14:paraId="002A8B6E" w14:textId="0C2CBCB2" w:rsidR="005101F7" w:rsidRDefault="00937F67" w:rsidP="005101F7">
      <w:r>
        <w:t xml:space="preserve">[2] </w:t>
      </w:r>
      <w:r w:rsidR="00EE0B54" w:rsidRPr="00EE0B54">
        <w:t>R4-2120066</w:t>
      </w:r>
      <w:r w:rsidR="005101F7">
        <w:t xml:space="preserve"> </w:t>
      </w:r>
      <w:r w:rsidR="00EE0B54" w:rsidRPr="00EE0B54">
        <w:t>WF on FR2 HST UE requirements</w:t>
      </w:r>
      <w:r w:rsidR="005101F7">
        <w:t>, Samsung, RAN4#</w:t>
      </w:r>
      <w:r w:rsidR="00EE0B54">
        <w:t>101</w:t>
      </w:r>
      <w:r w:rsidR="005101F7">
        <w:t>e</w:t>
      </w:r>
    </w:p>
    <w:p w14:paraId="331D75BF" w14:textId="7061016F" w:rsidR="00567846" w:rsidRDefault="00567846" w:rsidP="00567846">
      <w:r>
        <w:t xml:space="preserve">[3] </w:t>
      </w:r>
      <w:r w:rsidR="00EE0B54" w:rsidRPr="00EE0B54">
        <w:t>R4-2119924</w:t>
      </w:r>
      <w:r>
        <w:t xml:space="preserve"> </w:t>
      </w:r>
      <w:r w:rsidR="00EE0B54" w:rsidRPr="00EE0B54">
        <w:t>Email discussion summary for [101-e][124] NR_HST_FR2_enh</w:t>
      </w:r>
      <w:r w:rsidR="00EE0B54">
        <w:t xml:space="preserve">, </w:t>
      </w:r>
      <w:r>
        <w:t>Samsung, RAN4#</w:t>
      </w:r>
      <w:r w:rsidR="00EE0B54">
        <w:t>101</w:t>
      </w:r>
      <w:r>
        <w:t>e</w:t>
      </w:r>
    </w:p>
    <w:p w14:paraId="5481054C" w14:textId="33F93DEB" w:rsidR="00AF44AA" w:rsidRDefault="00AF44AA" w:rsidP="00567846">
      <w:r>
        <w:lastRenderedPageBreak/>
        <w:t xml:space="preserve">[4] </w:t>
      </w:r>
      <w:r w:rsidRPr="00AF44AA">
        <w:t>R4-2118225</w:t>
      </w:r>
      <w:r>
        <w:t xml:space="preserve"> </w:t>
      </w:r>
      <w:r w:rsidRPr="00AF44AA">
        <w:t>Spherical Coverage Requirement for FR2 HST UE</w:t>
      </w:r>
      <w:r>
        <w:t>, Samsung, RAN4#101e</w:t>
      </w:r>
    </w:p>
    <w:p w14:paraId="7BC93530" w14:textId="5006AC49" w:rsidR="00AF44AA" w:rsidRDefault="00AF44AA" w:rsidP="00567846">
      <w:r>
        <w:t xml:space="preserve">[5] </w:t>
      </w:r>
      <w:r w:rsidRPr="00AF44AA">
        <w:t>R4-2117626</w:t>
      </w:r>
      <w:r>
        <w:t xml:space="preserve"> </w:t>
      </w:r>
      <w:r w:rsidRPr="00AF44AA">
        <w:t>On FR2 HST RF Requirements</w:t>
      </w:r>
      <w:r>
        <w:t>, Qualcomm Incorporated, RAN4#101e</w:t>
      </w:r>
    </w:p>
    <w:p w14:paraId="273CB524" w14:textId="77777777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91C50" w14:textId="77777777" w:rsidR="006315BB" w:rsidRDefault="006315BB">
      <w:r>
        <w:separator/>
      </w:r>
    </w:p>
  </w:endnote>
  <w:endnote w:type="continuationSeparator" w:id="0">
    <w:p w14:paraId="2B2A46BB" w14:textId="77777777" w:rsidR="006315BB" w:rsidRDefault="0063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4945F" w14:textId="77777777" w:rsidR="006315BB" w:rsidRDefault="006315BB">
      <w:r>
        <w:separator/>
      </w:r>
    </w:p>
  </w:footnote>
  <w:footnote w:type="continuationSeparator" w:id="0">
    <w:p w14:paraId="06566250" w14:textId="77777777" w:rsidR="006315BB" w:rsidRDefault="0063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07256"/>
    <w:multiLevelType w:val="hybridMultilevel"/>
    <w:tmpl w:val="6032DF16"/>
    <w:lvl w:ilvl="0" w:tplc="D6505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B3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E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4F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86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6B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4E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06A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AD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5009D8"/>
    <w:multiLevelType w:val="hybridMultilevel"/>
    <w:tmpl w:val="874250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14121C"/>
    <w:multiLevelType w:val="hybridMultilevel"/>
    <w:tmpl w:val="F04C5030"/>
    <w:lvl w:ilvl="0" w:tplc="217E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85D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496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2C6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A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0E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2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0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87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8714C"/>
    <w:multiLevelType w:val="multilevel"/>
    <w:tmpl w:val="3538714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EC63F3"/>
    <w:multiLevelType w:val="hybridMultilevel"/>
    <w:tmpl w:val="FDA43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816" w:hanging="360"/>
      </w:pPr>
      <w:rPr>
        <w:rFonts w:ascii="Times New Roman" w:eastAsiaTheme="minorEastAsia" w:hAnsi="Times New Roman" w:cs="Times New Roman" w:hint="default"/>
      </w:rPr>
    </w:lvl>
    <w:lvl w:ilvl="5">
      <w:numFmt w:val="bullet"/>
      <w:lvlText w:val=""/>
      <w:lvlJc w:val="left"/>
      <w:pPr>
        <w:ind w:left="4536" w:hanging="360"/>
      </w:pPr>
      <w:rPr>
        <w:rFonts w:ascii="Wingdings" w:eastAsiaTheme="minorEastAsia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8"/>
  </w:num>
  <w:num w:numId="6">
    <w:abstractNumId w:val="9"/>
  </w:num>
  <w:num w:numId="7">
    <w:abstractNumId w:val="21"/>
  </w:num>
  <w:num w:numId="8">
    <w:abstractNumId w:val="17"/>
  </w:num>
  <w:num w:numId="9">
    <w:abstractNumId w:val="12"/>
  </w:num>
  <w:num w:numId="10">
    <w:abstractNumId w:val="16"/>
  </w:num>
  <w:num w:numId="11">
    <w:abstractNumId w:val="22"/>
  </w:num>
  <w:num w:numId="12">
    <w:abstractNumId w:val="4"/>
  </w:num>
  <w:num w:numId="13">
    <w:abstractNumId w:val="24"/>
  </w:num>
  <w:num w:numId="14">
    <w:abstractNumId w:val="5"/>
  </w:num>
  <w:num w:numId="15">
    <w:abstractNumId w:val="15"/>
  </w:num>
  <w:num w:numId="16">
    <w:abstractNumId w:val="25"/>
  </w:num>
  <w:num w:numId="17">
    <w:abstractNumId w:val="13"/>
  </w:num>
  <w:num w:numId="18">
    <w:abstractNumId w:val="2"/>
  </w:num>
  <w:num w:numId="19">
    <w:abstractNumId w:val="19"/>
  </w:num>
  <w:num w:numId="20">
    <w:abstractNumId w:val="10"/>
  </w:num>
  <w:num w:numId="21">
    <w:abstractNumId w:val="3"/>
  </w:num>
  <w:num w:numId="22">
    <w:abstractNumId w:val="6"/>
  </w:num>
  <w:num w:numId="23">
    <w:abstractNumId w:val="11"/>
  </w:num>
  <w:num w:numId="24">
    <w:abstractNumId w:val="14"/>
  </w:num>
  <w:num w:numId="25">
    <w:abstractNumId w:val="18"/>
  </w:num>
  <w:num w:numId="26">
    <w:abstractNumId w:val="20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57BFD"/>
    <w:rsid w:val="0006077C"/>
    <w:rsid w:val="00062023"/>
    <w:rsid w:val="00062A08"/>
    <w:rsid w:val="000655A6"/>
    <w:rsid w:val="0006682B"/>
    <w:rsid w:val="00080512"/>
    <w:rsid w:val="0009303B"/>
    <w:rsid w:val="00095C24"/>
    <w:rsid w:val="000A1C04"/>
    <w:rsid w:val="000B7DB1"/>
    <w:rsid w:val="000C47C3"/>
    <w:rsid w:val="000D58AB"/>
    <w:rsid w:val="000D6502"/>
    <w:rsid w:val="000E2362"/>
    <w:rsid w:val="000E3A08"/>
    <w:rsid w:val="00106C02"/>
    <w:rsid w:val="00113DFC"/>
    <w:rsid w:val="00133525"/>
    <w:rsid w:val="001861BD"/>
    <w:rsid w:val="0018720F"/>
    <w:rsid w:val="001A2BED"/>
    <w:rsid w:val="001A308F"/>
    <w:rsid w:val="001A4C42"/>
    <w:rsid w:val="001A7420"/>
    <w:rsid w:val="001B6637"/>
    <w:rsid w:val="001C0841"/>
    <w:rsid w:val="001C21C3"/>
    <w:rsid w:val="001D02C2"/>
    <w:rsid w:val="001E39B0"/>
    <w:rsid w:val="001E6EF9"/>
    <w:rsid w:val="001F0C1D"/>
    <w:rsid w:val="001F1132"/>
    <w:rsid w:val="001F168B"/>
    <w:rsid w:val="001F3FA8"/>
    <w:rsid w:val="0021588F"/>
    <w:rsid w:val="00216389"/>
    <w:rsid w:val="002347A2"/>
    <w:rsid w:val="00244460"/>
    <w:rsid w:val="002518FC"/>
    <w:rsid w:val="00255C6A"/>
    <w:rsid w:val="002675F0"/>
    <w:rsid w:val="00274159"/>
    <w:rsid w:val="00276F56"/>
    <w:rsid w:val="00292BEE"/>
    <w:rsid w:val="002A2F73"/>
    <w:rsid w:val="002B22D0"/>
    <w:rsid w:val="002B6339"/>
    <w:rsid w:val="002C432C"/>
    <w:rsid w:val="002C4950"/>
    <w:rsid w:val="002E00EE"/>
    <w:rsid w:val="002E16D8"/>
    <w:rsid w:val="003003E8"/>
    <w:rsid w:val="00304CD9"/>
    <w:rsid w:val="003172DC"/>
    <w:rsid w:val="00323359"/>
    <w:rsid w:val="00326A20"/>
    <w:rsid w:val="00341391"/>
    <w:rsid w:val="0034187E"/>
    <w:rsid w:val="00350AE3"/>
    <w:rsid w:val="0035462D"/>
    <w:rsid w:val="00366991"/>
    <w:rsid w:val="003765B8"/>
    <w:rsid w:val="0039735C"/>
    <w:rsid w:val="003973C1"/>
    <w:rsid w:val="003A27F6"/>
    <w:rsid w:val="003A5835"/>
    <w:rsid w:val="003C2B65"/>
    <w:rsid w:val="003C3971"/>
    <w:rsid w:val="003C7F92"/>
    <w:rsid w:val="003D254C"/>
    <w:rsid w:val="003E238C"/>
    <w:rsid w:val="003E6C12"/>
    <w:rsid w:val="004032E3"/>
    <w:rsid w:val="004225D7"/>
    <w:rsid w:val="00423334"/>
    <w:rsid w:val="00432D19"/>
    <w:rsid w:val="004345EC"/>
    <w:rsid w:val="00441AFE"/>
    <w:rsid w:val="004451DF"/>
    <w:rsid w:val="00446662"/>
    <w:rsid w:val="00465515"/>
    <w:rsid w:val="004744A2"/>
    <w:rsid w:val="00480969"/>
    <w:rsid w:val="00492286"/>
    <w:rsid w:val="004B55DE"/>
    <w:rsid w:val="004C267A"/>
    <w:rsid w:val="004D1C68"/>
    <w:rsid w:val="004D3547"/>
    <w:rsid w:val="004D3578"/>
    <w:rsid w:val="004D4FB6"/>
    <w:rsid w:val="004D7480"/>
    <w:rsid w:val="004D7901"/>
    <w:rsid w:val="004E213A"/>
    <w:rsid w:val="004F0988"/>
    <w:rsid w:val="004F3340"/>
    <w:rsid w:val="004F3A6D"/>
    <w:rsid w:val="004F79C0"/>
    <w:rsid w:val="005064BD"/>
    <w:rsid w:val="005101F7"/>
    <w:rsid w:val="00512948"/>
    <w:rsid w:val="0052256B"/>
    <w:rsid w:val="0052673B"/>
    <w:rsid w:val="0053388B"/>
    <w:rsid w:val="00535773"/>
    <w:rsid w:val="00542778"/>
    <w:rsid w:val="00543092"/>
    <w:rsid w:val="00543E6C"/>
    <w:rsid w:val="00565087"/>
    <w:rsid w:val="00567846"/>
    <w:rsid w:val="005703BE"/>
    <w:rsid w:val="00574E6D"/>
    <w:rsid w:val="00597B11"/>
    <w:rsid w:val="005C154F"/>
    <w:rsid w:val="005C6395"/>
    <w:rsid w:val="005D2E01"/>
    <w:rsid w:val="005D70C9"/>
    <w:rsid w:val="005D7526"/>
    <w:rsid w:val="005E08BC"/>
    <w:rsid w:val="005E4BB2"/>
    <w:rsid w:val="005E55B1"/>
    <w:rsid w:val="00602AEA"/>
    <w:rsid w:val="00610813"/>
    <w:rsid w:val="00614FDF"/>
    <w:rsid w:val="00630334"/>
    <w:rsid w:val="006315BB"/>
    <w:rsid w:val="0063543D"/>
    <w:rsid w:val="00637DB7"/>
    <w:rsid w:val="00647114"/>
    <w:rsid w:val="00664F93"/>
    <w:rsid w:val="0066613A"/>
    <w:rsid w:val="0067040A"/>
    <w:rsid w:val="006A323F"/>
    <w:rsid w:val="006B30D0"/>
    <w:rsid w:val="006C348F"/>
    <w:rsid w:val="006C3D95"/>
    <w:rsid w:val="006E3752"/>
    <w:rsid w:val="006E5C86"/>
    <w:rsid w:val="00701116"/>
    <w:rsid w:val="007047EB"/>
    <w:rsid w:val="00713C44"/>
    <w:rsid w:val="00720B01"/>
    <w:rsid w:val="00726565"/>
    <w:rsid w:val="007342EE"/>
    <w:rsid w:val="00734A5B"/>
    <w:rsid w:val="00735528"/>
    <w:rsid w:val="0074026F"/>
    <w:rsid w:val="007429F6"/>
    <w:rsid w:val="00744E76"/>
    <w:rsid w:val="00746C8A"/>
    <w:rsid w:val="007540EC"/>
    <w:rsid w:val="00774DA4"/>
    <w:rsid w:val="00781AB3"/>
    <w:rsid w:val="00781F0F"/>
    <w:rsid w:val="00791697"/>
    <w:rsid w:val="007A0B69"/>
    <w:rsid w:val="007A4C0C"/>
    <w:rsid w:val="007A6B7B"/>
    <w:rsid w:val="007A742B"/>
    <w:rsid w:val="007B3EEA"/>
    <w:rsid w:val="007B600E"/>
    <w:rsid w:val="007C09BD"/>
    <w:rsid w:val="007C5F01"/>
    <w:rsid w:val="007F0F4A"/>
    <w:rsid w:val="007F34CE"/>
    <w:rsid w:val="007F53E6"/>
    <w:rsid w:val="008028A4"/>
    <w:rsid w:val="008055C7"/>
    <w:rsid w:val="00830747"/>
    <w:rsid w:val="008405CC"/>
    <w:rsid w:val="00874BB1"/>
    <w:rsid w:val="00875BB8"/>
    <w:rsid w:val="008768CA"/>
    <w:rsid w:val="008803A9"/>
    <w:rsid w:val="00885D62"/>
    <w:rsid w:val="00895378"/>
    <w:rsid w:val="008A27D8"/>
    <w:rsid w:val="008A3577"/>
    <w:rsid w:val="008A68CE"/>
    <w:rsid w:val="008C384C"/>
    <w:rsid w:val="008D4C38"/>
    <w:rsid w:val="008E1A09"/>
    <w:rsid w:val="0090271F"/>
    <w:rsid w:val="00902E23"/>
    <w:rsid w:val="00903DC4"/>
    <w:rsid w:val="00907485"/>
    <w:rsid w:val="009114D7"/>
    <w:rsid w:val="0091348E"/>
    <w:rsid w:val="00917CCB"/>
    <w:rsid w:val="0092735F"/>
    <w:rsid w:val="00937F67"/>
    <w:rsid w:val="00942EC2"/>
    <w:rsid w:val="00944AE2"/>
    <w:rsid w:val="00957086"/>
    <w:rsid w:val="00997F99"/>
    <w:rsid w:val="009A01C9"/>
    <w:rsid w:val="009E7D52"/>
    <w:rsid w:val="009F0B8F"/>
    <w:rsid w:val="009F183D"/>
    <w:rsid w:val="009F37B7"/>
    <w:rsid w:val="009F4274"/>
    <w:rsid w:val="00A10F02"/>
    <w:rsid w:val="00A164B4"/>
    <w:rsid w:val="00A26956"/>
    <w:rsid w:val="00A27486"/>
    <w:rsid w:val="00A3356D"/>
    <w:rsid w:val="00A403D7"/>
    <w:rsid w:val="00A53724"/>
    <w:rsid w:val="00A56066"/>
    <w:rsid w:val="00A57024"/>
    <w:rsid w:val="00A60E75"/>
    <w:rsid w:val="00A62418"/>
    <w:rsid w:val="00A64C15"/>
    <w:rsid w:val="00A654C5"/>
    <w:rsid w:val="00A72A24"/>
    <w:rsid w:val="00A73129"/>
    <w:rsid w:val="00A82346"/>
    <w:rsid w:val="00A841B0"/>
    <w:rsid w:val="00A85484"/>
    <w:rsid w:val="00A92BA1"/>
    <w:rsid w:val="00AA1006"/>
    <w:rsid w:val="00AA24AD"/>
    <w:rsid w:val="00AA3815"/>
    <w:rsid w:val="00AA469E"/>
    <w:rsid w:val="00AA7B69"/>
    <w:rsid w:val="00AB0BE7"/>
    <w:rsid w:val="00AB1675"/>
    <w:rsid w:val="00AC2BD1"/>
    <w:rsid w:val="00AC6BC6"/>
    <w:rsid w:val="00AE4865"/>
    <w:rsid w:val="00AE65E2"/>
    <w:rsid w:val="00AF1E14"/>
    <w:rsid w:val="00AF44AA"/>
    <w:rsid w:val="00AF4ECD"/>
    <w:rsid w:val="00B03A84"/>
    <w:rsid w:val="00B03C77"/>
    <w:rsid w:val="00B076BD"/>
    <w:rsid w:val="00B13255"/>
    <w:rsid w:val="00B15449"/>
    <w:rsid w:val="00B32712"/>
    <w:rsid w:val="00B34AFE"/>
    <w:rsid w:val="00B35E18"/>
    <w:rsid w:val="00B454B6"/>
    <w:rsid w:val="00B62C25"/>
    <w:rsid w:val="00B77D99"/>
    <w:rsid w:val="00B93086"/>
    <w:rsid w:val="00BA19ED"/>
    <w:rsid w:val="00BA4B8D"/>
    <w:rsid w:val="00BA51C2"/>
    <w:rsid w:val="00BB313E"/>
    <w:rsid w:val="00BC0F7D"/>
    <w:rsid w:val="00BD7D31"/>
    <w:rsid w:val="00BE3255"/>
    <w:rsid w:val="00BF128E"/>
    <w:rsid w:val="00C074DD"/>
    <w:rsid w:val="00C10129"/>
    <w:rsid w:val="00C1496A"/>
    <w:rsid w:val="00C21352"/>
    <w:rsid w:val="00C33079"/>
    <w:rsid w:val="00C45231"/>
    <w:rsid w:val="00C64A6E"/>
    <w:rsid w:val="00C72833"/>
    <w:rsid w:val="00C80F1D"/>
    <w:rsid w:val="00C93F40"/>
    <w:rsid w:val="00C955EA"/>
    <w:rsid w:val="00C95788"/>
    <w:rsid w:val="00CA3D0C"/>
    <w:rsid w:val="00CA4480"/>
    <w:rsid w:val="00CB0BC2"/>
    <w:rsid w:val="00CC66CB"/>
    <w:rsid w:val="00CE14CA"/>
    <w:rsid w:val="00CF3F9C"/>
    <w:rsid w:val="00CF6B78"/>
    <w:rsid w:val="00D1357F"/>
    <w:rsid w:val="00D33416"/>
    <w:rsid w:val="00D41045"/>
    <w:rsid w:val="00D473F8"/>
    <w:rsid w:val="00D55237"/>
    <w:rsid w:val="00D55278"/>
    <w:rsid w:val="00D56831"/>
    <w:rsid w:val="00D57972"/>
    <w:rsid w:val="00D6262C"/>
    <w:rsid w:val="00D65492"/>
    <w:rsid w:val="00D675A9"/>
    <w:rsid w:val="00D738D6"/>
    <w:rsid w:val="00D755EB"/>
    <w:rsid w:val="00D76048"/>
    <w:rsid w:val="00D873C6"/>
    <w:rsid w:val="00D87E00"/>
    <w:rsid w:val="00D9134D"/>
    <w:rsid w:val="00D91E1E"/>
    <w:rsid w:val="00DA7A03"/>
    <w:rsid w:val="00DB1818"/>
    <w:rsid w:val="00DB64A4"/>
    <w:rsid w:val="00DC1D1B"/>
    <w:rsid w:val="00DC309B"/>
    <w:rsid w:val="00DC4DA2"/>
    <w:rsid w:val="00DC6358"/>
    <w:rsid w:val="00DD07C5"/>
    <w:rsid w:val="00DD0ACC"/>
    <w:rsid w:val="00DD4C17"/>
    <w:rsid w:val="00DD5906"/>
    <w:rsid w:val="00DD74A5"/>
    <w:rsid w:val="00DE36E2"/>
    <w:rsid w:val="00DE5A60"/>
    <w:rsid w:val="00DF2B1F"/>
    <w:rsid w:val="00DF62CD"/>
    <w:rsid w:val="00E02131"/>
    <w:rsid w:val="00E160D3"/>
    <w:rsid w:val="00E16509"/>
    <w:rsid w:val="00E2093C"/>
    <w:rsid w:val="00E33EED"/>
    <w:rsid w:val="00E35F95"/>
    <w:rsid w:val="00E44582"/>
    <w:rsid w:val="00E655B9"/>
    <w:rsid w:val="00E71149"/>
    <w:rsid w:val="00E73F2A"/>
    <w:rsid w:val="00E768BB"/>
    <w:rsid w:val="00E77645"/>
    <w:rsid w:val="00E90F36"/>
    <w:rsid w:val="00E93CDA"/>
    <w:rsid w:val="00EA15B0"/>
    <w:rsid w:val="00EA1A7E"/>
    <w:rsid w:val="00EA5EA7"/>
    <w:rsid w:val="00EC4A25"/>
    <w:rsid w:val="00ED4216"/>
    <w:rsid w:val="00EE044D"/>
    <w:rsid w:val="00EE0B54"/>
    <w:rsid w:val="00EE41D6"/>
    <w:rsid w:val="00EE4C73"/>
    <w:rsid w:val="00EF5C17"/>
    <w:rsid w:val="00F025A2"/>
    <w:rsid w:val="00F04712"/>
    <w:rsid w:val="00F13360"/>
    <w:rsid w:val="00F22EC7"/>
    <w:rsid w:val="00F242AD"/>
    <w:rsid w:val="00F24E9F"/>
    <w:rsid w:val="00F31F83"/>
    <w:rsid w:val="00F325C8"/>
    <w:rsid w:val="00F4242F"/>
    <w:rsid w:val="00F478C1"/>
    <w:rsid w:val="00F63FB1"/>
    <w:rsid w:val="00F653B8"/>
    <w:rsid w:val="00F7454F"/>
    <w:rsid w:val="00F8120C"/>
    <w:rsid w:val="00F9008D"/>
    <w:rsid w:val="00F96776"/>
    <w:rsid w:val="00FA1266"/>
    <w:rsid w:val="00FA7812"/>
    <w:rsid w:val="00FB01D3"/>
    <w:rsid w:val="00FB2B11"/>
    <w:rsid w:val="00FC1192"/>
    <w:rsid w:val="00FC3951"/>
    <w:rsid w:val="00FE09E0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목록 단락,?? ??,?????,????,Lista1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FE70CD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E0B5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764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450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76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559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17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622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36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82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452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746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8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6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3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3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51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6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3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E65D-15A0-4A92-BEF4-0FEBE9BC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</cp:lastModifiedBy>
  <cp:revision>39</cp:revision>
  <cp:lastPrinted>2019-02-25T14:05:00Z</cp:lastPrinted>
  <dcterms:created xsi:type="dcterms:W3CDTF">2021-12-29T03:06:00Z</dcterms:created>
  <dcterms:modified xsi:type="dcterms:W3CDTF">2022-01-10T02:11:00Z</dcterms:modified>
</cp:coreProperties>
</file>